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15C1" w14:textId="5015E1C8" w:rsidR="00AE08BD" w:rsidRPr="001029FB" w:rsidRDefault="00AE08BD" w:rsidP="001029FB">
      <w:pPr>
        <w:spacing w:after="120"/>
        <w:jc w:val="center"/>
        <w:textAlignment w:val="baseline"/>
        <w:outlineLvl w:val="0"/>
        <w:rPr>
          <w:rFonts w:ascii="Arial" w:eastAsia="Times New Roman" w:hAnsi="Arial" w:cs="Arial"/>
          <w:b/>
          <w:color w:val="000000" w:themeColor="text1"/>
          <w:kern w:val="36"/>
          <w:sz w:val="32"/>
          <w:szCs w:val="32"/>
          <w:lang w:eastAsia="en-GB"/>
        </w:rPr>
      </w:pPr>
      <w:r w:rsidRPr="001029FB">
        <w:rPr>
          <w:rFonts w:ascii="Arial" w:eastAsia="Times New Roman" w:hAnsi="Arial" w:cs="Arial"/>
          <w:b/>
          <w:color w:val="000000" w:themeColor="text1"/>
          <w:kern w:val="36"/>
          <w:sz w:val="32"/>
          <w:szCs w:val="32"/>
          <w:lang w:eastAsia="en-GB"/>
        </w:rPr>
        <w:t>Publications</w:t>
      </w:r>
      <w:r w:rsidR="003106C6">
        <w:rPr>
          <w:rFonts w:ascii="Arial" w:eastAsia="Times New Roman" w:hAnsi="Arial" w:cs="Arial"/>
          <w:b/>
          <w:color w:val="000000" w:themeColor="text1"/>
          <w:kern w:val="36"/>
          <w:sz w:val="32"/>
          <w:szCs w:val="32"/>
          <w:lang w:eastAsia="en-GB"/>
        </w:rPr>
        <w:t xml:space="preserve"> by the Department of Gastroenterology and Liver, Liverpool Hospital</w:t>
      </w:r>
    </w:p>
    <w:p w14:paraId="669CDE08" w14:textId="77777777" w:rsidR="00AE08BD" w:rsidRPr="001029FB" w:rsidRDefault="00AE08BD" w:rsidP="00AE08BD">
      <w:pPr>
        <w:jc w:val="both"/>
        <w:rPr>
          <w:rFonts w:eastAsia="Times New Roman" w:cstheme="minorHAnsi"/>
          <w:b/>
          <w:color w:val="000000" w:themeColor="text1"/>
          <w:sz w:val="22"/>
          <w:szCs w:val="22"/>
          <w:lang w:eastAsia="en-GB"/>
        </w:rPr>
      </w:pPr>
    </w:p>
    <w:p w14:paraId="2AFEBAB0" w14:textId="77777777" w:rsidR="00AE08BD" w:rsidRPr="001029FB" w:rsidRDefault="00AE08BD" w:rsidP="00CE2F1D">
      <w:pPr>
        <w:jc w:val="center"/>
        <w:rPr>
          <w:rFonts w:eastAsia="Times New Roman" w:cstheme="minorHAnsi"/>
          <w:b/>
          <w:color w:val="000000" w:themeColor="text1"/>
          <w:sz w:val="22"/>
          <w:szCs w:val="22"/>
          <w:lang w:eastAsia="en-GB"/>
        </w:rPr>
      </w:pPr>
      <w:r w:rsidRPr="001029FB">
        <w:rPr>
          <w:rFonts w:eastAsia="Times New Roman" w:cstheme="minorHAnsi"/>
          <w:b/>
          <w:color w:val="000000" w:themeColor="text1"/>
          <w:sz w:val="22"/>
          <w:szCs w:val="22"/>
          <w:lang w:eastAsia="en-GB"/>
        </w:rPr>
        <w:t>2015</w:t>
      </w:r>
    </w:p>
    <w:p w14:paraId="094CCD5B" w14:textId="77777777" w:rsidR="00AE08BD" w:rsidRPr="001029FB" w:rsidRDefault="00AE08BD" w:rsidP="00AE08BD">
      <w:pPr>
        <w:pStyle w:val="ListParagraph"/>
        <w:jc w:val="both"/>
        <w:rPr>
          <w:rFonts w:eastAsia="Times New Roman" w:cstheme="minorHAnsi"/>
          <w:b/>
          <w:color w:val="000000" w:themeColor="text1"/>
          <w:sz w:val="22"/>
          <w:szCs w:val="22"/>
          <w:lang w:eastAsia="en-GB"/>
        </w:rPr>
      </w:pPr>
    </w:p>
    <w:p w14:paraId="626EC03F"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Hepatocytes in liver injury: Victim, bystander, or accomplice in progressive fibrosis?</w:t>
      </w:r>
    </w:p>
    <w:p w14:paraId="4DD226D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Tu T, Calabro SR, Lee A, Maczurek AE, Budzinska MA, Warner FJ, McLennan SV,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122842C0"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2015 Dec;30(12):1696-704. doi: 10.1111/jgh.13065. Review. </w:t>
      </w:r>
      <w:r w:rsidRPr="001029FB">
        <w:rPr>
          <w:rFonts w:eastAsia="Times New Roman" w:cstheme="minorHAnsi"/>
          <w:color w:val="000000" w:themeColor="text1"/>
          <w:sz w:val="20"/>
          <w:szCs w:val="20"/>
          <w:lang w:eastAsia="en-GB"/>
        </w:rPr>
        <w:t>PMID: 26239824</w:t>
      </w:r>
    </w:p>
    <w:p w14:paraId="2D9567EA"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An association of large-fibre peripheral nerve dysfunction with non-invasive measures of liver fibrosis secondary to non-alcoholic fatty liver disease in diabetes.</w:t>
      </w:r>
    </w:p>
    <w:p w14:paraId="57C03D45"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Williams KH, Burns K, Constantino M,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xml:space="preserve">, </w:t>
      </w:r>
      <w:r w:rsidRPr="001029FB">
        <w:rPr>
          <w:rFonts w:cstheme="minorHAnsi"/>
          <w:b/>
          <w:color w:val="000000" w:themeColor="text1"/>
          <w:sz w:val="20"/>
          <w:szCs w:val="20"/>
          <w:lang w:eastAsia="en-GB"/>
        </w:rPr>
        <w:t>Prakoso E</w:t>
      </w:r>
      <w:r w:rsidRPr="001029FB">
        <w:rPr>
          <w:rFonts w:cstheme="minorHAnsi"/>
          <w:color w:val="000000" w:themeColor="text1"/>
          <w:sz w:val="20"/>
          <w:szCs w:val="20"/>
          <w:lang w:eastAsia="en-GB"/>
        </w:rPr>
        <w:t>, Wong J, Wu T, George J, McCaughan GW, Twigg SM.</w:t>
      </w:r>
    </w:p>
    <w:p w14:paraId="04FB61ED"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J Diabetes Complications. 2015 Nov-Dec;29(8):1240-7. doi: 10.1016/j.jdiacomp.2015.06.015. </w:t>
      </w:r>
      <w:r w:rsidRPr="001029FB">
        <w:rPr>
          <w:rFonts w:eastAsia="Times New Roman" w:cstheme="minorHAnsi"/>
          <w:color w:val="000000" w:themeColor="text1"/>
          <w:sz w:val="20"/>
          <w:szCs w:val="20"/>
          <w:lang w:eastAsia="en-GB"/>
        </w:rPr>
        <w:t>PMID: 26297218</w:t>
      </w:r>
    </w:p>
    <w:p w14:paraId="3AE87D1E"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Circulating dipeptidyl peptidase-4 activity correlates with measures of hepatocyte apoptosis and fibrosis in non-alcoholic fatty liver disease in type 2 diabetes mellitus and obesity: A dual cohort cross-sectional study.</w:t>
      </w:r>
    </w:p>
    <w:p w14:paraId="0414AE5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Williams KH, Vieira De Ribeiro AJ, </w:t>
      </w:r>
      <w:r w:rsidRPr="001029FB">
        <w:rPr>
          <w:rFonts w:cstheme="minorHAnsi"/>
          <w:b/>
          <w:color w:val="000000" w:themeColor="text1"/>
          <w:sz w:val="20"/>
          <w:szCs w:val="20"/>
          <w:lang w:eastAsia="en-GB"/>
        </w:rPr>
        <w:t>Prakoso E</w:t>
      </w:r>
      <w:r w:rsidRPr="001029FB">
        <w:rPr>
          <w:rFonts w:cstheme="minorHAnsi"/>
          <w:color w:val="000000" w:themeColor="text1"/>
          <w:sz w:val="20"/>
          <w:szCs w:val="20"/>
          <w:lang w:eastAsia="en-GB"/>
        </w:rPr>
        <w:t xml:space="preserve">, Veillard AS,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Brooks B, Bu Y, Cavanagh E, Raleigh J, McLennan SV, McCaughan GW, Keane FM, Zekry A, Gorrell MD, Twigg SM.</w:t>
      </w:r>
    </w:p>
    <w:p w14:paraId="2870C2D4"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J Diabetes. 2015 Nov;7(6):809-19. doi: 10.1111/1753-0407.12237.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25350950</w:t>
      </w:r>
    </w:p>
    <w:p w14:paraId="08EF1197"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Knowledge and predictors of dysplasia surveillance performance in inflammatory bowel diseases in Australia.</w:t>
      </w:r>
    </w:p>
    <w:p w14:paraId="568287C6"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Leong RW, Perry J, Campbell B, </w:t>
      </w:r>
      <w:r w:rsidRPr="001029FB">
        <w:rPr>
          <w:rFonts w:cstheme="minorHAnsi"/>
          <w:b/>
          <w:color w:val="000000" w:themeColor="text1"/>
          <w:sz w:val="20"/>
          <w:szCs w:val="20"/>
          <w:lang w:eastAsia="en-GB"/>
        </w:rPr>
        <w:t>Koo J</w:t>
      </w:r>
      <w:r w:rsidRPr="001029FB">
        <w:rPr>
          <w:rFonts w:cstheme="minorHAnsi"/>
          <w:color w:val="000000" w:themeColor="text1"/>
          <w:sz w:val="20"/>
          <w:szCs w:val="20"/>
          <w:lang w:eastAsia="en-GB"/>
        </w:rPr>
        <w:t>, Turner IB, Corte C, Fok IK.</w:t>
      </w:r>
    </w:p>
    <w:p w14:paraId="689FA06D"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Gastrointest Endosc. 2015 Oct;82(4):708-714.e4. doi: 10.1016/j.gie.2015.04.004.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26007222</w:t>
      </w:r>
    </w:p>
    <w:p w14:paraId="4EDA6C35"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Gastroenterologist perceptions of faecal microbiota transplantation.</w:t>
      </w:r>
    </w:p>
    <w:p w14:paraId="2C761BB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Paramsothy S, Walsh AJ, Borody T, Samuel D, van den Bogaerde J, Leong RW,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xml:space="preserve">, </w:t>
      </w:r>
      <w:r w:rsidRPr="001029FB">
        <w:rPr>
          <w:rFonts w:cstheme="minorHAnsi"/>
          <w:b/>
          <w:color w:val="000000" w:themeColor="text1"/>
          <w:sz w:val="20"/>
          <w:szCs w:val="20"/>
          <w:lang w:eastAsia="en-GB"/>
        </w:rPr>
        <w:t>Ng W</w:t>
      </w:r>
      <w:r w:rsidRPr="001029FB">
        <w:rPr>
          <w:rFonts w:cstheme="minorHAnsi"/>
          <w:color w:val="000000" w:themeColor="text1"/>
          <w:sz w:val="20"/>
          <w:szCs w:val="20"/>
          <w:lang w:eastAsia="en-GB"/>
        </w:rPr>
        <w:t>, Mitchell HM, Kaakoush NO, Kamm MA.</w:t>
      </w:r>
    </w:p>
    <w:p w14:paraId="4A1171D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World J Gastroenterol. 2015 Oct 14;21(38):10907-14. doi: 10.3748/wjg.v21.i38.10907.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26478682</w:t>
      </w:r>
    </w:p>
    <w:p w14:paraId="1A4896A7"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Analysis of Post-Liver Transplant Hepatitis C Virus Recurrence Using Serial Cluster of Differentiation Antibody Microarrays.</w:t>
      </w:r>
    </w:p>
    <w:p w14:paraId="6DC846D4"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Rahman W, Tu T, Budzinska M, Huang P, Belov L, Chrisp JS, Christopherson RI, Warner FJ, Bowden DS, Thompson AJ, Bowen DG, Strasser SI, Koorey D, Sharland AF, Yang JY, McCaughan GW,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37521BC4"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Transplantation. 2015 Sep;99(9):e120-6. doi: 10.1097/TP.0000000000000617. </w:t>
      </w:r>
      <w:r w:rsidRPr="001029FB">
        <w:rPr>
          <w:rFonts w:eastAsia="Times New Roman" w:cstheme="minorHAnsi"/>
          <w:color w:val="000000" w:themeColor="text1"/>
          <w:sz w:val="20"/>
          <w:szCs w:val="20"/>
          <w:lang w:eastAsia="en-GB"/>
        </w:rPr>
        <w:t>PMID: 25706280</w:t>
      </w:r>
    </w:p>
    <w:p w14:paraId="640005A4"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Inflammatory Bowel Disease Environmental Risk Factors: A Population-Based Case-Control Study of Middle Eastern Migration to Australia.</w:t>
      </w:r>
    </w:p>
    <w:p w14:paraId="6FE563CE"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Ko Y, Kariyawasam V, Karnib M, Butcher R, Samuel D, Alrubaie A, Rahme N, McDonald C, Cowlishaw J, Katelaris P, Barr G, Jones B,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Paven G, Chapman G, Park G, Gearry R, Leong RW; IBD Sydney Organisation.</w:t>
      </w:r>
    </w:p>
    <w:p w14:paraId="4E32C002"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Clin Gastroenterol Hepatol. 2015 Aug;13(8):1453-63.e1. doi: 10.1016/j.cgh.2015.02.045.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25771246</w:t>
      </w:r>
    </w:p>
    <w:p w14:paraId="0BFCF56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Donor Recruitment for Fecal Microbiota Transplantation.</w:t>
      </w:r>
    </w:p>
    <w:p w14:paraId="025F40BF"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Paramsothy S, Borody TJ, Lin E, Finlayson S, Walsh AJ, Samuel D, van den Bogaerde J, Leong RW,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xml:space="preserve">, </w:t>
      </w:r>
      <w:r w:rsidRPr="001029FB">
        <w:rPr>
          <w:rFonts w:cstheme="minorHAnsi"/>
          <w:b/>
          <w:color w:val="000000" w:themeColor="text1"/>
          <w:sz w:val="20"/>
          <w:szCs w:val="20"/>
          <w:lang w:eastAsia="en-GB"/>
        </w:rPr>
        <w:t>Ng W</w:t>
      </w:r>
      <w:r w:rsidRPr="001029FB">
        <w:rPr>
          <w:rFonts w:cstheme="minorHAnsi"/>
          <w:color w:val="000000" w:themeColor="text1"/>
          <w:sz w:val="20"/>
          <w:szCs w:val="20"/>
          <w:lang w:eastAsia="en-GB"/>
        </w:rPr>
        <w:t>, Mitchell HM, Kaakoush N, Kamm MA.</w:t>
      </w:r>
    </w:p>
    <w:p w14:paraId="1B438813"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Inflamm Bowel Dis. 2015 Jul;21(7):1600-6. doi: 10.1097/MIB.0000000000000405.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26070003</w:t>
      </w:r>
    </w:p>
    <w:p w14:paraId="08C80C96"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Conceptual models for the initiation of hepatitis B virus-associated hepatocellular carcinoma.</w:t>
      </w:r>
    </w:p>
    <w:p w14:paraId="7D978C2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Tu T, Budzinska MA,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Jilbert AR.</w:t>
      </w:r>
    </w:p>
    <w:p w14:paraId="39E81D04"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Liver Int. 2015 Jul;35(7):1786-800. doi: 10.1111/liv.12773. Review. </w:t>
      </w:r>
      <w:r w:rsidRPr="001029FB">
        <w:rPr>
          <w:rFonts w:eastAsia="Times New Roman" w:cstheme="minorHAnsi"/>
          <w:color w:val="000000" w:themeColor="text1"/>
          <w:sz w:val="20"/>
          <w:szCs w:val="20"/>
          <w:lang w:eastAsia="en-GB"/>
        </w:rPr>
        <w:t>PMID: 25640596</w:t>
      </w:r>
    </w:p>
    <w:p w14:paraId="18ADF78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Compassionate access anti-tumour necrosis factor-α therapy for ulcerative colitis in Australia: the benefits to patients.</w:t>
      </w:r>
    </w:p>
    <w:p w14:paraId="64FCA331"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Costello SP, Ghaly S, Beswick L, Pudipeddi A, Agarwal A, Sechi A, O'Connor S, </w:t>
      </w:r>
      <w:r w:rsidRPr="001029FB">
        <w:rPr>
          <w:rFonts w:cstheme="minorHAnsi"/>
          <w:b/>
          <w:color w:val="000000" w:themeColor="text1"/>
          <w:sz w:val="20"/>
          <w:szCs w:val="20"/>
          <w:lang w:eastAsia="en-GB"/>
        </w:rPr>
        <w:t>Connor SJ</w:t>
      </w:r>
      <w:r w:rsidRPr="001029FB">
        <w:rPr>
          <w:rFonts w:cstheme="minorHAnsi"/>
          <w:color w:val="000000" w:themeColor="text1"/>
          <w:sz w:val="20"/>
          <w:szCs w:val="20"/>
          <w:lang w:eastAsia="en-GB"/>
        </w:rPr>
        <w:t>, Sparrow MP, Bampton P, Walsh AJ, Andrews JM; Australian Inflammatory Bowel Disease Association (AIBDA).</w:t>
      </w:r>
    </w:p>
    <w:p w14:paraId="4B0D89C2"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Intern Med J. 2015 Jun;45(6):659-66. doi: 10.1111/imj.12732.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25732268</w:t>
      </w:r>
    </w:p>
    <w:p w14:paraId="616AB416"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Ipilimumab-induced toxicities and the gastroenterologist.</w:t>
      </w:r>
    </w:p>
    <w:p w14:paraId="558B9D50"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Cheng R, Cooper A, Kench J, Watson G, Bye W, McNeil C, </w:t>
      </w:r>
      <w:r w:rsidRPr="001029FB">
        <w:rPr>
          <w:rFonts w:cstheme="minorHAnsi"/>
          <w:b/>
          <w:color w:val="000000" w:themeColor="text1"/>
          <w:sz w:val="20"/>
          <w:szCs w:val="20"/>
          <w:lang w:eastAsia="en-GB"/>
        </w:rPr>
        <w:t>Shackel N</w:t>
      </w:r>
      <w:r w:rsidRPr="001029FB">
        <w:rPr>
          <w:rFonts w:cstheme="minorHAnsi"/>
          <w:color w:val="000000" w:themeColor="text1"/>
          <w:sz w:val="20"/>
          <w:szCs w:val="20"/>
          <w:lang w:eastAsia="en-GB"/>
        </w:rPr>
        <w:t>.</w:t>
      </w:r>
    </w:p>
    <w:p w14:paraId="681EE06D"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2015 Apr;30(4):657-66. doi: 10.1111/jgh.12888. Review. </w:t>
      </w:r>
      <w:r w:rsidRPr="001029FB">
        <w:rPr>
          <w:rFonts w:eastAsia="Times New Roman" w:cstheme="minorHAnsi"/>
          <w:color w:val="000000" w:themeColor="text1"/>
          <w:sz w:val="20"/>
          <w:szCs w:val="20"/>
          <w:lang w:eastAsia="en-GB"/>
        </w:rPr>
        <w:t>PMID: 25641691</w:t>
      </w:r>
    </w:p>
    <w:p w14:paraId="039491B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Australian Liver Association (ALA) expert consensus recommendations for the use of transient elastography in chronic viral hepatitis.</w:t>
      </w:r>
    </w:p>
    <w:p w14:paraId="75A5C97A"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lastRenderedPageBreak/>
        <w:t xml:space="preserve">Kemp W, </w:t>
      </w:r>
      <w:r w:rsidRPr="001029FB">
        <w:rPr>
          <w:rFonts w:cstheme="minorHAnsi"/>
          <w:b/>
          <w:color w:val="000000" w:themeColor="text1"/>
          <w:sz w:val="20"/>
          <w:szCs w:val="20"/>
          <w:lang w:eastAsia="en-GB"/>
        </w:rPr>
        <w:t>Levy M</w:t>
      </w:r>
      <w:r w:rsidRPr="001029FB">
        <w:rPr>
          <w:rFonts w:cstheme="minorHAnsi"/>
          <w:color w:val="000000" w:themeColor="text1"/>
          <w:sz w:val="20"/>
          <w:szCs w:val="20"/>
          <w:lang w:eastAsia="en-GB"/>
        </w:rPr>
        <w:t>, Weltman M, Lubel J; Australian Liver Association (ALA).</w:t>
      </w:r>
    </w:p>
    <w:p w14:paraId="742F4487"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2015 Mar;30(3):453-62. doi: 10.1111/jgh.12865. Review. </w:t>
      </w:r>
      <w:r w:rsidRPr="001029FB">
        <w:rPr>
          <w:rFonts w:eastAsia="Times New Roman" w:cstheme="minorHAnsi"/>
          <w:color w:val="000000" w:themeColor="text1"/>
          <w:sz w:val="20"/>
          <w:szCs w:val="20"/>
          <w:lang w:eastAsia="en-GB"/>
        </w:rPr>
        <w:t>PMID: 25532416</w:t>
      </w:r>
    </w:p>
    <w:p w14:paraId="5464EEF2"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 second chance at EMR: the avulsion technique to complete resection within areas of submucosal fibrosis.</w:t>
      </w:r>
    </w:p>
    <w:p w14:paraId="3F2F9627"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b/>
          <w:color w:val="000000" w:themeColor="text1"/>
          <w:sz w:val="20"/>
          <w:szCs w:val="20"/>
          <w:lang w:eastAsia="en-GB"/>
        </w:rPr>
        <w:t>Bassan MS</w:t>
      </w:r>
      <w:r w:rsidRPr="001029FB">
        <w:rPr>
          <w:rFonts w:cstheme="minorHAnsi"/>
          <w:color w:val="000000" w:themeColor="text1"/>
          <w:sz w:val="20"/>
          <w:szCs w:val="20"/>
          <w:lang w:eastAsia="en-GB"/>
        </w:rPr>
        <w:t>, Cirocco M, Kandel G, May GR, Kortan PP, Haber GB, Marcon NE.</w:t>
      </w:r>
    </w:p>
    <w:p w14:paraId="1FA020A6"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Gastrointest Endosc. 2015 Mar;81(3):757. doi: 10.1016/j.gie.2014.06.003. </w:t>
      </w:r>
      <w:r w:rsidRPr="001029FB">
        <w:rPr>
          <w:rFonts w:eastAsia="Times New Roman" w:cstheme="minorHAnsi"/>
          <w:color w:val="000000" w:themeColor="text1"/>
          <w:sz w:val="20"/>
          <w:szCs w:val="20"/>
          <w:lang w:eastAsia="en-GB"/>
        </w:rPr>
        <w:t>PMID: 25028269</w:t>
      </w:r>
    </w:p>
    <w:p w14:paraId="5D1148E9"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Hepatic artery stenosis after liver transplantation: is endovascular treatment always necessary?</w:t>
      </w:r>
    </w:p>
    <w:p w14:paraId="7B26ECDB"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Pulitano C, Joseph D, Sandroussi C, Verran D, Strasser SI,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McCaughan GW, Crawford M.</w:t>
      </w:r>
    </w:p>
    <w:p w14:paraId="1F598213"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Liver Transpl. 2015 Feb;21(2):162-8. doi: 10.1002/lt.24043. </w:t>
      </w:r>
      <w:r w:rsidRPr="001029FB">
        <w:rPr>
          <w:rFonts w:eastAsia="Times New Roman" w:cstheme="minorHAnsi"/>
          <w:color w:val="000000" w:themeColor="text1"/>
          <w:sz w:val="20"/>
          <w:szCs w:val="20"/>
          <w:lang w:eastAsia="en-GB"/>
        </w:rPr>
        <w:t>PMID: 25378262</w:t>
      </w:r>
    </w:p>
    <w:p w14:paraId="47DFD7C3"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Dose tailoring of anti-tumour necrosis factor-alpha therapy delivers useful clinical efficacy in Crohn disease patients experiencing loss of response.</w:t>
      </w:r>
    </w:p>
    <w:p w14:paraId="71652AE7"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Ghaly S, Costello S, Beswick L, Pudipeddi A, Agarwal A, Sechi A, Antoniades S, Headon B, </w:t>
      </w:r>
      <w:r w:rsidRPr="001029FB">
        <w:rPr>
          <w:rFonts w:cstheme="minorHAnsi"/>
          <w:b/>
          <w:color w:val="000000" w:themeColor="text1"/>
          <w:sz w:val="20"/>
          <w:szCs w:val="20"/>
          <w:lang w:eastAsia="en-GB"/>
        </w:rPr>
        <w:t>Connor S</w:t>
      </w:r>
      <w:r w:rsidRPr="001029FB">
        <w:rPr>
          <w:rFonts w:cstheme="minorHAnsi"/>
          <w:color w:val="000000" w:themeColor="text1"/>
          <w:sz w:val="20"/>
          <w:szCs w:val="20"/>
          <w:lang w:eastAsia="en-GB"/>
        </w:rPr>
        <w:t>, Lawrance IC, Sparrow M, Walsh AJ, Andrews JM; AIBDA.</w:t>
      </w:r>
    </w:p>
    <w:p w14:paraId="6BBF82F5" w14:textId="5074218D" w:rsidR="00AE08BD" w:rsidRPr="001029FB" w:rsidRDefault="00AE08BD" w:rsidP="002A1C88">
      <w:pPr>
        <w:pStyle w:val="ListParagraph"/>
        <w:tabs>
          <w:tab w:val="left" w:pos="7331"/>
        </w:tabs>
        <w:ind w:left="360"/>
        <w:jc w:val="both"/>
        <w:rPr>
          <w:rFonts w:eastAsia="Times New Roman" w:cstheme="minorHAnsi"/>
          <w:b/>
          <w:color w:val="000000" w:themeColor="text1"/>
          <w:sz w:val="22"/>
          <w:szCs w:val="22"/>
          <w:lang w:eastAsia="en-GB"/>
        </w:rPr>
      </w:pPr>
      <w:r w:rsidRPr="001029FB">
        <w:rPr>
          <w:rFonts w:cstheme="minorHAnsi"/>
          <w:color w:val="000000" w:themeColor="text1"/>
          <w:sz w:val="20"/>
          <w:szCs w:val="20"/>
          <w:lang w:eastAsia="en-GB"/>
        </w:rPr>
        <w:t xml:space="preserve">Intern Med J. 2015 Feb;45(2):170-7. doi: 10.1111/imj.12621.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25370691</w:t>
      </w:r>
      <w:bookmarkStart w:id="0" w:name="_GoBack"/>
      <w:bookmarkEnd w:id="0"/>
    </w:p>
    <w:p w14:paraId="2D0FD8C8" w14:textId="77777777" w:rsidR="00404144" w:rsidRPr="001029FB" w:rsidRDefault="00404144">
      <w:pPr>
        <w:rPr>
          <w:color w:val="000000" w:themeColor="text1"/>
        </w:rPr>
      </w:pPr>
    </w:p>
    <w:sectPr w:rsidR="00404144" w:rsidRPr="001029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F89F" w14:textId="77777777" w:rsidR="0028564E" w:rsidRDefault="0028564E">
      <w:r>
        <w:separator/>
      </w:r>
    </w:p>
  </w:endnote>
  <w:endnote w:type="continuationSeparator" w:id="0">
    <w:p w14:paraId="02A9CE9F" w14:textId="77777777" w:rsidR="0028564E" w:rsidRDefault="0028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75094"/>
      <w:docPartObj>
        <w:docPartGallery w:val="Page Numbers (Bottom of Page)"/>
        <w:docPartUnique/>
      </w:docPartObj>
    </w:sdtPr>
    <w:sdtEndPr>
      <w:rPr>
        <w:noProof/>
      </w:rPr>
    </w:sdtEndPr>
    <w:sdtContent>
      <w:p w14:paraId="269C1685" w14:textId="77777777" w:rsidR="005C6868" w:rsidRDefault="005C6868">
        <w:pPr>
          <w:pStyle w:val="Footer"/>
          <w:jc w:val="right"/>
        </w:pPr>
        <w:r>
          <w:fldChar w:fldCharType="begin"/>
        </w:r>
        <w:r>
          <w:instrText xml:space="preserve"> PAGE   \* MERGEFORMAT </w:instrText>
        </w:r>
        <w:r>
          <w:fldChar w:fldCharType="separate"/>
        </w:r>
        <w:r w:rsidR="002A1C88">
          <w:rPr>
            <w:noProof/>
          </w:rPr>
          <w:t>1</w:t>
        </w:r>
        <w:r>
          <w:rPr>
            <w:noProof/>
          </w:rPr>
          <w:fldChar w:fldCharType="end"/>
        </w:r>
      </w:p>
    </w:sdtContent>
  </w:sdt>
  <w:p w14:paraId="4D18BCCA" w14:textId="77777777" w:rsidR="005C6868" w:rsidRDefault="005C6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775F6" w14:textId="77777777" w:rsidR="0028564E" w:rsidRDefault="0028564E">
      <w:r>
        <w:separator/>
      </w:r>
    </w:p>
  </w:footnote>
  <w:footnote w:type="continuationSeparator" w:id="0">
    <w:p w14:paraId="7C4A71F1" w14:textId="77777777" w:rsidR="0028564E" w:rsidRDefault="00285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4567" w14:textId="00FA4E96" w:rsidR="003106C6" w:rsidRDefault="003106C6">
    <w:pPr>
      <w:pStyle w:val="Header"/>
    </w:pPr>
    <w:r>
      <w:rPr>
        <w:noProof/>
        <w:lang w:eastAsia="en-GB"/>
      </w:rPr>
      <w:drawing>
        <wp:anchor distT="0" distB="0" distL="114300" distR="114300" simplePos="0" relativeHeight="251661312" behindDoc="1" locked="0" layoutInCell="1" allowOverlap="1" wp14:anchorId="1DA5877E" wp14:editId="60191D94">
          <wp:simplePos x="0" y="0"/>
          <wp:positionH relativeFrom="column">
            <wp:posOffset>4397375</wp:posOffset>
          </wp:positionH>
          <wp:positionV relativeFrom="paragraph">
            <wp:posOffset>-218440</wp:posOffset>
          </wp:positionV>
          <wp:extent cx="1977390" cy="514350"/>
          <wp:effectExtent l="19050" t="0" r="3810" b="0"/>
          <wp:wrapThrough wrapText="bothSides">
            <wp:wrapPolygon edited="0">
              <wp:start x="-208" y="0"/>
              <wp:lineTo x="-208" y="20800"/>
              <wp:lineTo x="21642" y="20800"/>
              <wp:lineTo x="21642" y="0"/>
              <wp:lineTo x="-208" y="0"/>
            </wp:wrapPolygon>
          </wp:wrapThrough>
          <wp:docPr id="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srcRect/>
                  <a:stretch>
                    <a:fillRect/>
                  </a:stretch>
                </pic:blipFill>
                <pic:spPr bwMode="auto">
                  <a:xfrm>
                    <a:off x="0" y="0"/>
                    <a:ext cx="1977390" cy="5143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0681840F" wp14:editId="296C53CF">
          <wp:simplePos x="0" y="0"/>
          <wp:positionH relativeFrom="column">
            <wp:posOffset>-520065</wp:posOffset>
          </wp:positionH>
          <wp:positionV relativeFrom="paragraph">
            <wp:posOffset>-218440</wp:posOffset>
          </wp:positionV>
          <wp:extent cx="448310" cy="533400"/>
          <wp:effectExtent l="19050" t="0" r="8890" b="0"/>
          <wp:wrapThrough wrapText="bothSides">
            <wp:wrapPolygon edited="0">
              <wp:start x="-918" y="0"/>
              <wp:lineTo x="-918" y="20829"/>
              <wp:lineTo x="22028" y="20829"/>
              <wp:lineTo x="22028" y="0"/>
              <wp:lineTo x="-918" y="0"/>
            </wp:wrapPolygon>
          </wp:wrapThrough>
          <wp:docPr id="7" name="Picture 7" descr="Liverpool_Hospital_Crest+words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_Hospital_Crest+words_stacked_RGB"/>
                  <pic:cNvPicPr>
                    <a:picLocks noChangeAspect="1" noChangeArrowheads="1"/>
                  </pic:cNvPicPr>
                </pic:nvPicPr>
                <pic:blipFill>
                  <a:blip r:embed="rId2"/>
                  <a:srcRect/>
                  <a:stretch>
                    <a:fillRect/>
                  </a:stretch>
                </pic:blipFill>
                <pic:spPr bwMode="auto">
                  <a:xfrm>
                    <a:off x="0" y="0"/>
                    <a:ext cx="44831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F3D"/>
    <w:multiLevelType w:val="hybridMultilevel"/>
    <w:tmpl w:val="DB18B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F2AFA"/>
    <w:multiLevelType w:val="hybridMultilevel"/>
    <w:tmpl w:val="93A2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26E495F"/>
    <w:multiLevelType w:val="hybridMultilevel"/>
    <w:tmpl w:val="2F52DBC4"/>
    <w:lvl w:ilvl="0" w:tplc="65144F9A">
      <w:start w:val="1"/>
      <w:numFmt w:val="decimal"/>
      <w:lvlText w:val="%1."/>
      <w:lvlJc w:val="left"/>
      <w:pPr>
        <w:ind w:left="720" w:hanging="607"/>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F81EFE"/>
    <w:multiLevelType w:val="hybridMultilevel"/>
    <w:tmpl w:val="BFA83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BD"/>
    <w:rsid w:val="00010B39"/>
    <w:rsid w:val="0001280C"/>
    <w:rsid w:val="00015B96"/>
    <w:rsid w:val="00086E9F"/>
    <w:rsid w:val="000B445C"/>
    <w:rsid w:val="000F1847"/>
    <w:rsid w:val="001029FB"/>
    <w:rsid w:val="0012520B"/>
    <w:rsid w:val="00130E63"/>
    <w:rsid w:val="00176F16"/>
    <w:rsid w:val="001C03A5"/>
    <w:rsid w:val="001C1F9E"/>
    <w:rsid w:val="00213AE4"/>
    <w:rsid w:val="00224277"/>
    <w:rsid w:val="0027417C"/>
    <w:rsid w:val="0028564E"/>
    <w:rsid w:val="002A1C88"/>
    <w:rsid w:val="002B6928"/>
    <w:rsid w:val="002C5A0B"/>
    <w:rsid w:val="002E63D8"/>
    <w:rsid w:val="003106C6"/>
    <w:rsid w:val="003C7537"/>
    <w:rsid w:val="00404144"/>
    <w:rsid w:val="004377B3"/>
    <w:rsid w:val="004810E5"/>
    <w:rsid w:val="004B4463"/>
    <w:rsid w:val="004F1853"/>
    <w:rsid w:val="00514D6A"/>
    <w:rsid w:val="0052405C"/>
    <w:rsid w:val="005304EA"/>
    <w:rsid w:val="00550026"/>
    <w:rsid w:val="005C6868"/>
    <w:rsid w:val="005E571C"/>
    <w:rsid w:val="005E6857"/>
    <w:rsid w:val="005F27A4"/>
    <w:rsid w:val="00646E63"/>
    <w:rsid w:val="0066319B"/>
    <w:rsid w:val="006657D1"/>
    <w:rsid w:val="00672807"/>
    <w:rsid w:val="00681F43"/>
    <w:rsid w:val="006B0644"/>
    <w:rsid w:val="006B5C57"/>
    <w:rsid w:val="00705558"/>
    <w:rsid w:val="007148CB"/>
    <w:rsid w:val="0076161F"/>
    <w:rsid w:val="00772A6C"/>
    <w:rsid w:val="007754C8"/>
    <w:rsid w:val="007B1739"/>
    <w:rsid w:val="007B3647"/>
    <w:rsid w:val="00802A19"/>
    <w:rsid w:val="008111AF"/>
    <w:rsid w:val="0081696E"/>
    <w:rsid w:val="00820F42"/>
    <w:rsid w:val="00831DF1"/>
    <w:rsid w:val="008730F9"/>
    <w:rsid w:val="008736F2"/>
    <w:rsid w:val="00873F09"/>
    <w:rsid w:val="008B7179"/>
    <w:rsid w:val="00923BD0"/>
    <w:rsid w:val="009311B6"/>
    <w:rsid w:val="009470F1"/>
    <w:rsid w:val="00953F5C"/>
    <w:rsid w:val="009C2B3C"/>
    <w:rsid w:val="00A05BB3"/>
    <w:rsid w:val="00A25C4E"/>
    <w:rsid w:val="00A5193F"/>
    <w:rsid w:val="00A7054F"/>
    <w:rsid w:val="00A8157C"/>
    <w:rsid w:val="00AA3A5A"/>
    <w:rsid w:val="00AD5E91"/>
    <w:rsid w:val="00AE08BD"/>
    <w:rsid w:val="00AF772D"/>
    <w:rsid w:val="00B07270"/>
    <w:rsid w:val="00B17C91"/>
    <w:rsid w:val="00B245E3"/>
    <w:rsid w:val="00B30A76"/>
    <w:rsid w:val="00B404A6"/>
    <w:rsid w:val="00B92922"/>
    <w:rsid w:val="00BA5594"/>
    <w:rsid w:val="00BE3E95"/>
    <w:rsid w:val="00BE3F00"/>
    <w:rsid w:val="00BF7A2D"/>
    <w:rsid w:val="00C16B55"/>
    <w:rsid w:val="00C223A7"/>
    <w:rsid w:val="00C32AC3"/>
    <w:rsid w:val="00C55DE0"/>
    <w:rsid w:val="00CE2F1D"/>
    <w:rsid w:val="00D01E7A"/>
    <w:rsid w:val="00D24EB9"/>
    <w:rsid w:val="00D50E4F"/>
    <w:rsid w:val="00D8416F"/>
    <w:rsid w:val="00D92E2E"/>
    <w:rsid w:val="00DA78C0"/>
    <w:rsid w:val="00DB01B2"/>
    <w:rsid w:val="00DD3E8E"/>
    <w:rsid w:val="00E31F80"/>
    <w:rsid w:val="00E53260"/>
    <w:rsid w:val="00E54C9F"/>
    <w:rsid w:val="00ED2F5B"/>
    <w:rsid w:val="00ED5DC3"/>
    <w:rsid w:val="00EF3DFB"/>
    <w:rsid w:val="00F20800"/>
    <w:rsid w:val="00F26BF2"/>
    <w:rsid w:val="00F36D21"/>
    <w:rsid w:val="00F629FB"/>
    <w:rsid w:val="00F81DB6"/>
    <w:rsid w:val="00FC3117"/>
    <w:rsid w:val="00FD4B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BF044D"/>
  <w14:defaultImageDpi w14:val="32767"/>
  <w15:chartTrackingRefBased/>
  <w15:docId w15:val="{EBBCD134-19FA-1B41-9BEC-BF6E9A7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E8E"/>
    <w:rPr>
      <w:rFonts w:ascii="Times New Roman" w:hAnsi="Times New Roman" w:cs="Times New Roman"/>
      <w:sz w:val="18"/>
      <w:szCs w:val="18"/>
    </w:rPr>
  </w:style>
  <w:style w:type="paragraph" w:styleId="ListParagraph">
    <w:name w:val="List Paragraph"/>
    <w:basedOn w:val="Normal"/>
    <w:uiPriority w:val="34"/>
    <w:qFormat/>
    <w:rsid w:val="00AE08BD"/>
    <w:pPr>
      <w:ind w:left="720"/>
      <w:contextualSpacing/>
    </w:pPr>
  </w:style>
  <w:style w:type="paragraph" w:styleId="Title">
    <w:name w:val="Title"/>
    <w:aliases w:val="title"/>
    <w:basedOn w:val="Normal"/>
    <w:link w:val="TitleChar"/>
    <w:qFormat/>
    <w:rsid w:val="00AE08BD"/>
    <w:pPr>
      <w:spacing w:before="100" w:beforeAutospacing="1" w:after="100" w:afterAutospacing="1"/>
    </w:pPr>
    <w:rPr>
      <w:rFonts w:ascii="Times New Roman" w:hAnsi="Times New Roman" w:cs="Times New Roman"/>
      <w:lang w:eastAsia="en-GB"/>
    </w:rPr>
  </w:style>
  <w:style w:type="character" w:customStyle="1" w:styleId="TitleChar">
    <w:name w:val="Title Char"/>
    <w:aliases w:val="title Char"/>
    <w:basedOn w:val="DefaultParagraphFont"/>
    <w:link w:val="Title"/>
    <w:rsid w:val="00AE08BD"/>
    <w:rPr>
      <w:rFonts w:ascii="Times New Roman" w:hAnsi="Times New Roman" w:cs="Times New Roman"/>
      <w:lang w:eastAsia="en-GB"/>
    </w:rPr>
  </w:style>
  <w:style w:type="paragraph" w:customStyle="1" w:styleId="desc">
    <w:name w:val="desc"/>
    <w:basedOn w:val="Normal"/>
    <w:rsid w:val="00AE08BD"/>
    <w:pPr>
      <w:spacing w:before="100" w:beforeAutospacing="1" w:after="100" w:afterAutospacing="1"/>
    </w:pPr>
    <w:rPr>
      <w:rFonts w:ascii="Times New Roman" w:hAnsi="Times New Roman" w:cs="Times New Roman"/>
      <w:lang w:eastAsia="en-GB"/>
    </w:rPr>
  </w:style>
  <w:style w:type="character" w:customStyle="1" w:styleId="jrnl">
    <w:name w:val="jrnl"/>
    <w:basedOn w:val="DefaultParagraphFont"/>
    <w:rsid w:val="00AE08BD"/>
  </w:style>
  <w:style w:type="paragraph" w:styleId="Footer">
    <w:name w:val="footer"/>
    <w:basedOn w:val="Normal"/>
    <w:link w:val="FooterChar"/>
    <w:uiPriority w:val="99"/>
    <w:unhideWhenUsed/>
    <w:rsid w:val="00AE08BD"/>
    <w:pPr>
      <w:tabs>
        <w:tab w:val="center" w:pos="4513"/>
        <w:tab w:val="right" w:pos="9026"/>
      </w:tabs>
    </w:pPr>
  </w:style>
  <w:style w:type="character" w:customStyle="1" w:styleId="FooterChar">
    <w:name w:val="Footer Char"/>
    <w:basedOn w:val="DefaultParagraphFont"/>
    <w:link w:val="Footer"/>
    <w:uiPriority w:val="99"/>
    <w:rsid w:val="00AE08BD"/>
  </w:style>
  <w:style w:type="paragraph" w:customStyle="1" w:styleId="details">
    <w:name w:val="details"/>
    <w:basedOn w:val="Normal"/>
    <w:rsid w:val="007B173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B1739"/>
  </w:style>
  <w:style w:type="paragraph" w:customStyle="1" w:styleId="Title2">
    <w:name w:val="Title2"/>
    <w:basedOn w:val="Normal"/>
    <w:rsid w:val="00AA3A5A"/>
    <w:pPr>
      <w:spacing w:before="100" w:beforeAutospacing="1" w:after="100" w:afterAutospacing="1"/>
    </w:pPr>
    <w:rPr>
      <w:rFonts w:ascii="Times New Roman" w:eastAsia="Times New Roman" w:hAnsi="Times New Roman" w:cs="Times New Roman"/>
      <w:lang w:val="en-AU"/>
    </w:rPr>
  </w:style>
  <w:style w:type="paragraph" w:customStyle="1" w:styleId="Title1">
    <w:name w:val="Title1"/>
    <w:basedOn w:val="Normal"/>
    <w:rsid w:val="000B445C"/>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3106C6"/>
    <w:pPr>
      <w:tabs>
        <w:tab w:val="center" w:pos="4513"/>
        <w:tab w:val="right" w:pos="9026"/>
      </w:tabs>
    </w:pPr>
  </w:style>
  <w:style w:type="character" w:customStyle="1" w:styleId="HeaderChar">
    <w:name w:val="Header Char"/>
    <w:basedOn w:val="DefaultParagraphFont"/>
    <w:link w:val="Header"/>
    <w:uiPriority w:val="99"/>
    <w:rsid w:val="0031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Gan</cp:lastModifiedBy>
  <cp:revision>3</cp:revision>
  <dcterms:created xsi:type="dcterms:W3CDTF">2018-12-05T03:47:00Z</dcterms:created>
  <dcterms:modified xsi:type="dcterms:W3CDTF">2018-12-05T03:47:00Z</dcterms:modified>
</cp:coreProperties>
</file>